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6"/>
        <w:gridCol w:w="2162"/>
        <w:gridCol w:w="3240"/>
        <w:tblGridChange w:id="0">
          <w:tblGrid>
            <w:gridCol w:w="4606"/>
            <w:gridCol w:w="2162"/>
            <w:gridCol w:w="3240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2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</w:rPr>
              <w:drawing>
                <wp:inline distB="0" distT="0" distL="114300" distR="114300">
                  <wp:extent cx="2280920" cy="6985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920" cy="698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PROSTORI ZA POSEBNE DOGAĐAJE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Kategorija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I - PROSTORI ZA POSEBNE DOGAĐAJE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Datum izdavanja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Br. dokumenta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Verzija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Datum potvrde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88"/>
        <w:gridCol w:w="2883"/>
        <w:gridCol w:w="3237"/>
        <w:tblGridChange w:id="0">
          <w:tblGrid>
            <w:gridCol w:w="3888"/>
            <w:gridCol w:w="2883"/>
            <w:gridCol w:w="32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UNUTRAŠNJA PROCJENA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Naziv prostora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Kategorija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dvorac     </w:t>
            </w: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muzej    </w:t>
            </w: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prirorodna znamenitost </w:t>
            </w: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sportski objekat  </w:t>
            </w:r>
          </w:p>
          <w:p w:rsidR="00000000" w:rsidDel="00000000" w:rsidP="00000000" w:rsidRDefault="00000000" w:rsidRPr="00000000" w14:paraId="0000001E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drugo (upiši):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Godišnji broj svih događaja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Broj prostora za događaje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Kapacitet prostora za događaje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Članstvo u međunarodnim organizacijama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ICCA    </w:t>
            </w: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MPI         </w:t>
            </w: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drugo (upiši):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Obrazac ispunio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Kontakt osoba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Kontakt podaci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Tel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Datum ispunjavanja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jc w:val="both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ahoma" w:cs="Tahoma" w:eastAsia="Tahoma" w:hAnsi="Tahom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  <w:rtl w:val="0"/>
        </w:rPr>
        <w:t xml:space="preserve">1. OPŠTI USLOVI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</w:rPr>
        <w:drawing>
          <wp:inline distB="0" distT="0" distL="114300" distR="114300">
            <wp:extent cx="6397625" cy="20002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3960"/>
        <w:gridCol w:w="720"/>
        <w:gridCol w:w="720"/>
        <w:gridCol w:w="820"/>
        <w:gridCol w:w="2004"/>
        <w:gridCol w:w="1316"/>
        <w:tblGridChange w:id="0">
          <w:tblGrid>
            <w:gridCol w:w="468"/>
            <w:gridCol w:w="3960"/>
            <w:gridCol w:w="720"/>
            <w:gridCol w:w="720"/>
            <w:gridCol w:w="820"/>
            <w:gridCol w:w="2004"/>
            <w:gridCol w:w="13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USLOVI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SAMOPROCJENA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SPOLJNA PROCJENA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1   2   3   4   5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KOMENTAR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46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OBAVEZNI USLOVI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ahoma" w:cs="Tahoma" w:eastAsia="Tahoma" w:hAnsi="Tahoma"/>
                <w:strike w:val="0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ima izuzetnu kulturnu, istorijsku, tehničku ili arhitektonsku vrijednost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ahoma" w:cs="Tahoma" w:eastAsia="Tahoma" w:hAnsi="Tahoma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4">
            <w:pPr>
              <w:rPr>
                <w:rFonts w:ascii="Tahoma" w:cs="Tahoma" w:eastAsia="Tahoma" w:hAnsi="Tahoma"/>
                <w:strike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ima najmanje jednu zatvorenu prostoriju za posebne događaje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ahoma" w:cs="Tahoma" w:eastAsia="Tahoma" w:hAnsi="Tahoma"/>
                <w:strike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ahoma" w:cs="Tahoma" w:eastAsia="Tahoma" w:hAnsi="Tahoma"/>
                <w:strike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Kapacitet zatvorene prostorije mora biti min. 30 osoba (raspored  stajanja)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ahoma" w:cs="Tahoma" w:eastAsia="Tahoma" w:hAnsi="Tahoma"/>
                <w:strike w:val="0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2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nudi javno ili privatno parkiralište koje je udaljeno najviše 300 metara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ahoma" w:cs="Tahoma" w:eastAsia="Tahoma" w:hAnsi="Tahoma"/>
                <w:color w:val="ff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ima osobu koja poznaje kongresne aktivnosti i sposobna je da ponudi i izvrši sve što je potrebno u okviru lokacije za nesmetano odvijanje događaja.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(neophodno je poznavanje minimalno jednog stranog jezika)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omogućava postavljanje mobilne ili fiksne garderobe kapaciteta jednakog maksimalnom broju učesnika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pruža dovoljan broj toaletnih prostora imajući u vidu najveću salu (za koktel): 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Ženski: 1 toalet i 1 umivaonik na svakih 100 učesnika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Muški: 1 toalet, 1 pisoar i 1 umivaonik na svakih 100 učesnika 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pruža sopstvenu banketnu ponudu ili ponudu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cateringa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pruža sopstveno servisno i drugo ugostiteljsko osoblje ili osoblje pružaoca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cateringa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8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Minimalna površina za koktel je 0,70 m2 po osobi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6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SISTEM USMJERAVANJA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D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ima jasan sistem usmjeravanja i obilježavanja prostora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4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ima jasno obilježene servisne prostore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B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prema potrebi nudi hostese za usmjeravanje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B2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SISTEM BEZBJEDNOSTI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B9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ima izrađenu procjenu rizika bezbjednosti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0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Sistem evakuacije iz prostora je osmišljen i testiran u praksi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7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 slučaju većih događaja, prostor ima direktan kontakt sa policijom i hitnom pomoći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E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 slučaju velikih događaja, prostor ima osmišljen sistem ulaza na događaj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D5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pruža propisani broj zaštitara tokom većih događaja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DC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PREPORUČENI USLOVI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UOPŠTENO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 slučaju da ima dvije ili više etaža, prostor je opremljen liftovima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pruža organizatorima mogućnost uspostavljanja LAN ili WLAN mreže za pojedinačne događaje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omogućuje direktan pristup transportnim vozilima za dostavu opreme i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cateringa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pruža organizatorima pristup internetu od min. 10/10 MBps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pruža nesmetan pristup invalidima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UGOSTITELJSTVO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raspolaže barom koji je otvoren za vrijeme događaja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Ponuda bara štampana je na crnogorskom i barem još na engleskom jeziku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ima ugovore sa barem 2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catering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preduzeća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ima prostor za skladištenje hrane prije serviranja, uređen prema HACCP standardima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 TEHNIČKE USLUGE ZA KLIJENTA – prostor pruža samostalno ili preko partnera: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Video-opremu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Scensku opremu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Rasvjetnu opremu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Najam muzičkih instrumenata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Najam scenske tehnike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Najam konferencijskih aparata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Najam izložbene opreme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  <w:rtl w:val="0"/>
        </w:rPr>
        <w:t xml:space="preserve">2. TEHNIČKI USLOVI ZA POSEBNE PROSTORE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</w:rPr>
        <w:drawing>
          <wp:inline distB="0" distT="0" distL="114300" distR="114300">
            <wp:extent cx="6397625" cy="2000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3960"/>
        <w:gridCol w:w="720"/>
        <w:gridCol w:w="720"/>
        <w:gridCol w:w="820"/>
        <w:gridCol w:w="2004"/>
        <w:gridCol w:w="1316"/>
        <w:tblGridChange w:id="0">
          <w:tblGrid>
            <w:gridCol w:w="468"/>
            <w:gridCol w:w="3960"/>
            <w:gridCol w:w="720"/>
            <w:gridCol w:w="720"/>
            <w:gridCol w:w="820"/>
            <w:gridCol w:w="2004"/>
            <w:gridCol w:w="13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7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USLOVI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SAMOPROCJENA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SPOLJNA PROCJENA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1   2   3   4   5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KOMENTAR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7A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OBAVEZNI USLOVI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1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Neto površina po učesniku u rasporedu bioskopske dvorane iznosi najmanje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m2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učesnika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(1,2 m2 = DIN 15906)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6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8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Neto površina po učesniku u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rasporedu učionice iznosi najmanje 1,4 m2 / učesnika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(1,6 m2 = DIN 15906)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D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8F">
            <w:pPr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Neto površina po učesniku u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rasporedu sale u obliku slova U je najmanje 1,6 m2 po učesniku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(1,8 m2 = DIN 15906)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4">
            <w:pPr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3f3f3" w:val="clear"/>
            <w:vAlign w:val="top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96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PREPORUČENI USLOVI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D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Visina plafona u svakoj sali do 50 m2 iznosi najmanje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2,50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4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Visina plafona u svakoj sali iznad 50 m2 do 100 m2 iznosi najmanje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2,60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Visina plafona u svakoj sali iznad 100 m2 do 200 m2 iznosi najmanje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3,30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Visina plafona u svakoj sali iznad 200 m2 do 300 m2 iznosi najmanje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3,50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 zahtjev je moguće obezbijediti jače električne priključke (iznad 5 kW, 220 / 380V) u salama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0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Sve sale opremljene su oznakama za izlaz u slučaju nužde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Ispred svih sala mogu se postaviti oznake događaja i informacije o zauzetosti sale (klasični ili digitalni sistem)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E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  <w:rtl w:val="0"/>
        </w:rPr>
        <w:t xml:space="preserve">3. TEHNIČKA OPREMA U PROSTORIMA ZA DOGAĐAJE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</w:rPr>
        <w:drawing>
          <wp:inline distB="0" distT="0" distL="114300" distR="114300">
            <wp:extent cx="6397625" cy="200025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3960"/>
        <w:gridCol w:w="720"/>
        <w:gridCol w:w="720"/>
        <w:gridCol w:w="820"/>
        <w:gridCol w:w="2004"/>
        <w:gridCol w:w="1316"/>
        <w:tblGridChange w:id="0">
          <w:tblGrid>
            <w:gridCol w:w="468"/>
            <w:gridCol w:w="3960"/>
            <w:gridCol w:w="720"/>
            <w:gridCol w:w="720"/>
            <w:gridCol w:w="820"/>
            <w:gridCol w:w="2004"/>
            <w:gridCol w:w="13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D4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USLOVI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SAMOPROCJENA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SPOLJNA PROCJENA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1   2   3   4   5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KOMENTAR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PREPORUČENI USLOVI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Prostor može da pruži uslove u nastavku u roku od 24 sata: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Flip-chart (sa papirom i olovkama)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Piši-briši tabla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Projekciono platno (prenosno ili fiksno)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Laserski pokazivač (pointer)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Namještaj prema dogovoru sa organizatorima (stolice i stolovi)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Ozvučenje sale (fiksni i prenosni mikrofoni) u sali za više od 30 osoba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E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Dataprojektor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5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Govornica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Mogućnost iznajmljivanja opreme za simultano prevođenje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Mogučnost iznajmljivanja sistema za video konferenciju i hibridne događaje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Mogućnost iznajmljivanja namještaja za uređenje prostora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Mogućnost iznajmljivanja sistema za glasanje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DVD plejer i CD plejer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Fotokopir aparat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6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Video snimanje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D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Prenosni ili desktop računar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4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Plazma ili LCD TV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Mogućnost dekoracije sala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2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  <w:rtl w:val="0"/>
        </w:rPr>
        <w:t xml:space="preserve">4. PROMOTIVNI MATERIJALI I INFORMACIJE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</w:rPr>
        <w:drawing>
          <wp:inline distB="0" distT="0" distL="114300" distR="114300">
            <wp:extent cx="6397625" cy="20002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3960"/>
        <w:gridCol w:w="720"/>
        <w:gridCol w:w="720"/>
        <w:gridCol w:w="820"/>
        <w:gridCol w:w="2004"/>
        <w:gridCol w:w="1316"/>
        <w:tblGridChange w:id="0">
          <w:tblGrid>
            <w:gridCol w:w="468"/>
            <w:gridCol w:w="3960"/>
            <w:gridCol w:w="720"/>
            <w:gridCol w:w="720"/>
            <w:gridCol w:w="820"/>
            <w:gridCol w:w="2004"/>
            <w:gridCol w:w="13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268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USLOVI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SAMOPROCJENA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SPOLJNA PROCJENA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1   2   3   4   5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KOMENTAR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270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OBAVEZNI USLOVI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ima digitalni ili štampani letak sa prezentacijom kapaciteta na crnogorskom i engleskom jeziku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E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ima digitalnu ili internet prezentaciju kapaciteta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5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Tabela prostora – dimenzije (dužina, širina, visina i kvadratura)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Tabela prostora - kapaciteti prilikom različitih rasporeda (bioskop, učionica, slovo U, okrugli sto, banket, koktel)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KAPACITETI PROSTORA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A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Fotografija sale ili prostora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1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Nacrti prostora  sa ili bez rasporeda sale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8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Nacrti prostora - oznake ulaza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Nacrti prostora - obilježavanje električnih utičnica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6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Nacrti prostora- obilježavanje internetskih priključaka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D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Nacrti prostora - ulazi za transport opreme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4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BANKETNI KAPACITETI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Fotografije banketnih prostora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 banketnih prostora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 ugostiteljskih kapaciteta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0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DODATNE INFORMACIJE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 standardne tehničke opreme uključene u najam prostora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E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 mogućnosti za pauze za kafu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5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 mogućnosti za poslovne ručkove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 mogućnosti za večere i prijem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Opis pristupa prostoru sa nacrtanim planom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A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  <w:rtl w:val="0"/>
        </w:rPr>
        <w:t xml:space="preserve">5. POSTUPAK REZERVACIJE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jc w:val="both"/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vertAlign w:val="baseline"/>
        </w:rPr>
        <w:drawing>
          <wp:inline distB="0" distT="0" distL="114300" distR="114300">
            <wp:extent cx="6397625" cy="200025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gridCol w:w="3960"/>
        <w:gridCol w:w="720"/>
        <w:gridCol w:w="720"/>
        <w:gridCol w:w="820"/>
        <w:gridCol w:w="2004"/>
        <w:gridCol w:w="1316"/>
        <w:tblGridChange w:id="0">
          <w:tblGrid>
            <w:gridCol w:w="468"/>
            <w:gridCol w:w="3960"/>
            <w:gridCol w:w="720"/>
            <w:gridCol w:w="720"/>
            <w:gridCol w:w="820"/>
            <w:gridCol w:w="2004"/>
            <w:gridCol w:w="13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31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USLOVI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SAMOPROCJENA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SPOLJNA PROCJENA</w:t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1   2   3   4   5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808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KOMENTAR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31B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OBAVEZNI USLOVI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31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2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odgovara na svaki upit u roku od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radna dana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5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8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9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je dužan da odgovori na sva dodatna tehnička pitanja u roku od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radnog dana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D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F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0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je dužan da organizatorima objasni sve troškove koji nastanu i da im pokaže odgovarajuću dokumentaciju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3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6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obezbjeđuje preliminarni obračun troškova u roku od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48 sati od zatvaranja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događaja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A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3C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D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E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obezbjeđuje konačni obračun troškova najkasnije u roku od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 dana od završetka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događaja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2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3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5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pruža kompetentne odgovore na upite uz mogućnost dodatnih objašnjenja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7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48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B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C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Prostor pruža kompetentnu kontakt osobu tokom cjelokupnog postupka rezervacije i realizacije događaja 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4E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F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NE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0">
            <w:pPr>
              <w:jc w:val="center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 NP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3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4 </w:t>
            </w:r>
            <w:r w:rsidDel="00000000" w:rsidR="00000000" w:rsidRPr="00000000">
              <w:rPr>
                <w:rFonts w:ascii="Wingdings" w:cs="Wingdings" w:eastAsia="Wingdings" w:hAnsi="Wingdings"/>
                <w:color w:val="808080"/>
                <w:sz w:val="18"/>
                <w:szCs w:val="18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52">
            <w:pPr>
              <w:jc w:val="center"/>
              <w:rPr>
                <w:rFonts w:ascii="Tahoma" w:cs="Tahoma" w:eastAsia="Tahoma" w:hAnsi="Tahoma"/>
                <w:color w:val="80808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3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rPr>
          <w:rFonts w:ascii="Tahoma" w:cs="Tahoma" w:eastAsia="Tahoma" w:hAnsi="Tahoma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jc w:val="both"/>
        <w:rPr>
          <w:rFonts w:ascii="Tahoma" w:cs="Tahoma" w:eastAsia="Tahoma" w:hAnsi="Tahom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1"/>
          <w:sz w:val="36"/>
          <w:szCs w:val="36"/>
          <w:vertAlign w:val="baseline"/>
          <w:rtl w:val="0"/>
        </w:rPr>
        <w:t xml:space="preserve">🙪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vertAlign w:val="baseline"/>
          <w:rtl w:val="0"/>
        </w:rPr>
        <w:t xml:space="preserve">SPOLJNA PROCJENA (ispunjavaju članovi ocjenjivačke komisije)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jc w:val="both"/>
        <w:rPr>
          <w:rFonts w:ascii="Tahoma" w:cs="Tahoma" w:eastAsia="Tahoma" w:hAnsi="Tahoma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vertAlign w:val="baseline"/>
        </w:rPr>
        <w:drawing>
          <wp:inline distB="0" distT="0" distL="114300" distR="114300">
            <wp:extent cx="6397625" cy="200025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8"/>
        <w:gridCol w:w="5940"/>
        <w:tblGridChange w:id="0">
          <w:tblGrid>
            <w:gridCol w:w="4068"/>
            <w:gridCol w:w="5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79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SPOLJNA PROCJENA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7A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B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Ocjenjivač 1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C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D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Ocjenjivač 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E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7F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Ocjenjivač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0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1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Datum ispunjavanja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82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3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2"/>
        <w:gridCol w:w="1563"/>
        <w:gridCol w:w="2283"/>
        <w:tblGridChange w:id="0">
          <w:tblGrid>
            <w:gridCol w:w="6162"/>
            <w:gridCol w:w="1563"/>
            <w:gridCol w:w="22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85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REZULTATI OCJENE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86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UKUPNO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87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88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UKUPAN BROJ PITANJA (obavezni uslovi)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89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B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UDIO POZITIVNIH ODGOVORA (obavezni uslovi)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C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D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E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UDIO NEGATIVNIH ODGOVORA (obavezni uslovi)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F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0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1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UDIO  NEODGOVORENIH PITANJA (obavezni uslovi)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2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3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4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UKUPAN BROJ POENA (preporučeni uslovi)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5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6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7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8"/>
        <w:tblGridChange w:id="0">
          <w:tblGrid>
            <w:gridCol w:w="100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98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KOMENTAR SPOLJNOG OCJENJIVAČA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9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A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B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C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D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9E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F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8"/>
        <w:tblGridChange w:id="0">
          <w:tblGrid>
            <w:gridCol w:w="100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A1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KOMENTAR SPOLJNOG OCJENJIVAČA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2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3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4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5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6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8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08"/>
        <w:tblGridChange w:id="0">
          <w:tblGrid>
            <w:gridCol w:w="100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3AA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KOMENTAR SPOLJNOG OCJENJIVAČA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B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C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D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E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AF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B0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1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Podgorica,  ____________________</w:t>
        <w:tab/>
        <w:tab/>
        <w:tab/>
        <w:tab/>
        <w:t xml:space="preserve">Podgorica, ____________________</w:t>
      </w:r>
    </w:p>
    <w:p w:rsidR="00000000" w:rsidDel="00000000" w:rsidP="00000000" w:rsidRDefault="00000000" w:rsidRPr="00000000" w14:paraId="000003B5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Ime i prezime ocjenjivača: </w:t>
        <w:tab/>
        <w:tab/>
        <w:tab/>
        <w:tab/>
        <w:tab/>
        <w:t xml:space="preserve">Ime i prezime ocjenjivača: </w:t>
        <w:tab/>
        <w:tab/>
        <w:tab/>
        <w:tab/>
        <w:tab/>
      </w:r>
    </w:p>
    <w:p w:rsidR="00000000" w:rsidDel="00000000" w:rsidP="00000000" w:rsidRDefault="00000000" w:rsidRPr="00000000" w14:paraId="000003B6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</w:t>
        <w:tab/>
        <w:tab/>
        <w:tab/>
        <w:tab/>
        <w:t xml:space="preserve">_____________________________</w:t>
      </w:r>
    </w:p>
    <w:p w:rsidR="00000000" w:rsidDel="00000000" w:rsidP="00000000" w:rsidRDefault="00000000" w:rsidRPr="00000000" w14:paraId="000003B7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Potpis: </w:t>
        <w:tab/>
        <w:tab/>
        <w:tab/>
        <w:tab/>
        <w:tab/>
        <w:tab/>
        <w:tab/>
        <w:tab/>
        <w:t xml:space="preserve">Potpis:</w:t>
      </w:r>
    </w:p>
    <w:p w:rsidR="00000000" w:rsidDel="00000000" w:rsidP="00000000" w:rsidRDefault="00000000" w:rsidRPr="00000000" w14:paraId="000003B9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</w:t>
        <w:tab/>
        <w:tab/>
        <w:tab/>
        <w:tab/>
        <w:t xml:space="preserve">_____________________________</w:t>
      </w:r>
    </w:p>
    <w:p w:rsidR="00000000" w:rsidDel="00000000" w:rsidP="00000000" w:rsidRDefault="00000000" w:rsidRPr="00000000" w14:paraId="000003BA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Ime i prezime ocjenjivača: </w:t>
        <w:tab/>
        <w:tab/>
        <w:tab/>
        <w:tab/>
        <w:tab/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3BF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</w:t>
        <w:tab/>
        <w:tab/>
        <w:tab/>
        <w:tab/>
      </w:r>
    </w:p>
    <w:p w:rsidR="00000000" w:rsidDel="00000000" w:rsidP="00000000" w:rsidRDefault="00000000" w:rsidRPr="00000000" w14:paraId="000003C0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Potpis: 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C2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</w:t>
        <w:tab/>
        <w:tab/>
        <w:tab/>
        <w:tab/>
      </w:r>
    </w:p>
    <w:p w:rsidR="00000000" w:rsidDel="00000000" w:rsidP="00000000" w:rsidRDefault="00000000" w:rsidRPr="00000000" w14:paraId="000003C3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rPr>
          <w:rFonts w:ascii="Tahoma" w:cs="Tahoma" w:eastAsia="Tahoma" w:hAnsi="Tahoma"/>
          <w:sz w:val="18"/>
          <w:szCs w:val="18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vertAlign w:val="baseline"/>
          <w:rtl w:val="0"/>
        </w:rPr>
        <w:br w:type="textWrapping"/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418" w:top="1418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Bookman Old Style"/>
  <w:font w:name="Tahoma">
    <w:embedRegular w:fontKey="{00000000-0000-0000-0000-000000000000}" r:id="rId1" w:subsetted="0"/>
    <w:embedBold w:fontKey="{00000000-0000-0000-0000-000000000000}" r:id="rId2" w:subsetted="0"/>
  </w:font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372100" cy="273050"/>
          <wp:effectExtent b="0" l="0" r="0" t="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72100" cy="273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Nacionalna turistička organizacija Crne Gore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</w:p>
  <w:p w:rsidR="00000000" w:rsidDel="00000000" w:rsidP="00000000" w:rsidRDefault="00000000" w:rsidRPr="00000000" w14:paraId="000003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z-Cyr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142" w:hanging="142"/>
    </w:pPr>
    <w:rPr>
      <w:rFonts w:ascii="Bookman Old Style" w:cs="Bookman Old Style" w:eastAsia="Bookman Old Style" w:hAnsi="Bookman Old Style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awCXlHMBHvRWMhrhR4uWIhBhow==">CgMxLjA4AHIhMVExX1Ywc0EtTEZhdlpSajJXWXh0SmVHSktQMmo4UnhE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